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50" w:rsidRPr="00E64681" w:rsidRDefault="00705456" w:rsidP="00E64681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</w:pPr>
      <w:proofErr w:type="spellStart"/>
      <w:r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Cos</w:t>
      </w:r>
      <w:r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eism</w:t>
      </w:r>
      <w:r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ic</w:t>
      </w:r>
      <w:proofErr w:type="spellEnd"/>
      <w:r w:rsidR="00941089"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-</w:t>
      </w:r>
      <w:r w:rsidR="00941089"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I</w:t>
      </w:r>
      <w:r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onospher</w:t>
      </w:r>
      <w:r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e</w:t>
      </w:r>
      <w:r w:rsidR="00941089"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 </w:t>
      </w:r>
      <w:r w:rsidR="00941089"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D</w:t>
      </w:r>
      <w:r w:rsidR="00DF4B50"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isturbances and </w:t>
      </w:r>
      <w:proofErr w:type="spellStart"/>
      <w:r w:rsidR="00941089"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Seismo</w:t>
      </w:r>
      <w:proofErr w:type="spellEnd"/>
      <w:r w:rsidR="00941089"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-I</w:t>
      </w:r>
      <w:r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 xml:space="preserve">onospheric </w:t>
      </w:r>
      <w:r w:rsidR="00941089" w:rsidRPr="00E6468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>P</w:t>
      </w:r>
      <w:r w:rsidR="00DF4B50"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recurso</w:t>
      </w:r>
      <w:r w:rsidRPr="00E6468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rs</w:t>
      </w:r>
    </w:p>
    <w:p w:rsidR="00941089" w:rsidRDefault="00941089" w:rsidP="00922718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color w:val="0000FF"/>
          <w:kern w:val="0"/>
          <w:szCs w:val="24"/>
        </w:rPr>
      </w:pPr>
    </w:p>
    <w:p w:rsidR="00922718" w:rsidRPr="00941089" w:rsidRDefault="00DF4B50" w:rsidP="00922718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941089">
        <w:rPr>
          <w:rFonts w:ascii="Times New Roman" w:eastAsia="新細明體" w:hAnsi="Times New Roman" w:cs="Times New Roman"/>
          <w:kern w:val="0"/>
          <w:szCs w:val="24"/>
        </w:rPr>
        <w:t>Jann-</w:t>
      </w:r>
      <w:proofErr w:type="spellStart"/>
      <w:r w:rsidRPr="00941089">
        <w:rPr>
          <w:rFonts w:ascii="Times New Roman" w:eastAsia="新細明體" w:hAnsi="Times New Roman" w:cs="Times New Roman"/>
          <w:kern w:val="0"/>
          <w:szCs w:val="24"/>
        </w:rPr>
        <w:t>Yenq</w:t>
      </w:r>
      <w:proofErr w:type="spellEnd"/>
      <w:r w:rsidRPr="00941089">
        <w:rPr>
          <w:rFonts w:ascii="Times New Roman" w:eastAsia="新細明體" w:hAnsi="Times New Roman" w:cs="Times New Roman"/>
          <w:kern w:val="0"/>
          <w:szCs w:val="24"/>
        </w:rPr>
        <w:t xml:space="preserve"> (Tiger) Liu</w:t>
      </w:r>
    </w:p>
    <w:p w:rsidR="00E64681" w:rsidRDefault="00E64681" w:rsidP="00E64681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DF4B50" w:rsidRPr="00E64681" w:rsidRDefault="00E64681" w:rsidP="00E64681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 w:val="20"/>
          <w:szCs w:val="20"/>
        </w:rPr>
      </w:pPr>
      <w:r w:rsidRPr="00E6468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E64681">
        <w:rPr>
          <w:rFonts w:ascii="Times New Roman" w:hAnsi="Times New Roman" w:cs="Times New Roman"/>
          <w:color w:val="000000" w:themeColor="text1"/>
          <w:sz w:val="20"/>
          <w:szCs w:val="20"/>
        </w:rPr>
        <w:t>Center for Astronautical Physics and Engineering,</w:t>
      </w:r>
      <w:r w:rsidRPr="00E646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10B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E64681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Graduate </w:t>
      </w:r>
      <w:r w:rsidR="00DF4B50" w:rsidRPr="00E64681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Institute of Space Science</w:t>
      </w:r>
      <w:r w:rsidRPr="00E64681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and Engineering</w:t>
      </w:r>
      <w:r w:rsidR="00922718" w:rsidRPr="00E64681">
        <w:rPr>
          <w:rFonts w:ascii="Times New Roman" w:eastAsia="新細明體" w:hAnsi="Times New Roman" w:cs="Times New Roman" w:hint="eastAsia"/>
          <w:color w:val="222222"/>
          <w:kern w:val="0"/>
          <w:sz w:val="20"/>
          <w:szCs w:val="20"/>
        </w:rPr>
        <w:t xml:space="preserve">, </w:t>
      </w:r>
      <w:r w:rsidRPr="00E6468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E64681">
        <w:rPr>
          <w:rFonts w:ascii="Times New Roman" w:hAnsi="Times New Roman" w:cs="Times New Roman"/>
          <w:color w:val="000000" w:themeColor="text1"/>
          <w:sz w:val="20"/>
          <w:szCs w:val="20"/>
        </w:rPr>
        <w:t>Center for Space and Remote Sensing Research, National Central University</w:t>
      </w:r>
    </w:p>
    <w:p w:rsidR="00DF4B50" w:rsidRDefault="00DF4B50" w:rsidP="00DF4B50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C37394" w:rsidRPr="001B10B9" w:rsidRDefault="00DF4B50" w:rsidP="006E1F4D">
      <w:pPr>
        <w:widowControl/>
        <w:shd w:val="clear" w:color="auto" w:fill="FFFFFF"/>
        <w:jc w:val="both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Ground-based observations of the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>GNSS (global navigation satellite system)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TEC (total electron content) and satellite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>sound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ing of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GNSS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>radio occultation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(RO)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as well as in situ satellite plasma probing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are employed to study the co-seismic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ionospheric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>disturbances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(CIDs)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</w:t>
      </w:r>
      <w:proofErr w:type="spellStart"/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>seismo</w:t>
      </w:r>
      <w:proofErr w:type="spellEnd"/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-ionospheric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>precursors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(SIPs). 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horizontal propagation of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>CIDs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induced by tsunami and seismic waves </w:t>
      </w:r>
      <w:r w:rsidR="00C00059">
        <w:rPr>
          <w:rFonts w:ascii="Times New Roman" w:eastAsia="新細明體" w:hAnsi="Times New Roman" w:cs="Times New Roman"/>
          <w:color w:val="000000"/>
          <w:kern w:val="0"/>
          <w:szCs w:val="24"/>
        </w:rPr>
        <w:t>can be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>detected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by the TEC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of ground-based GNSS receivers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, while the associated vertical propagation 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>can be</w:t>
      </w:r>
      <w:r w:rsidR="00612C8D"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>sensed</w:t>
      </w:r>
      <w:r w:rsidR="00612C8D"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by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satellite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>RO sounding.</w:t>
      </w:r>
      <w:r w:rsidR="00E6468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="00AB2724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A</w:t>
      </w:r>
      <w:r w:rsidR="00705456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AB272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complementary </w:t>
      </w:r>
      <w:r w:rsidR="00AB2724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system for </w:t>
      </w:r>
      <w:r w:rsidR="00AB2724">
        <w:rPr>
          <w:rFonts w:ascii="Times New Roman" w:eastAsia="新細明體" w:hAnsi="Times New Roman" w:cs="Times New Roman"/>
          <w:color w:val="000000"/>
          <w:kern w:val="0"/>
          <w:szCs w:val="24"/>
        </w:rPr>
        <w:t>tsunami</w:t>
      </w:r>
      <w:r w:rsidR="00AB2724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early warning using ground-based GNSS receivers is proposed.</w:t>
      </w:r>
      <w:r w:rsidR="00612C8D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On the other hand, t</w:t>
      </w:r>
      <w:r w:rsidR="0055385F">
        <w:rPr>
          <w:rFonts w:ascii="Times New Roman" w:eastAsia="新細明體" w:hAnsi="Times New Roman" w:cs="Times New Roman"/>
          <w:color w:val="000000"/>
          <w:kern w:val="0"/>
          <w:szCs w:val="24"/>
        </w:rPr>
        <w:t>he GIM (global ionosphere map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of ground-based GNSS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>TEC is applied to search temporal and spatial SIPs of earthquake</w:t>
      </w:r>
      <w:r w:rsidR="00612C8D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55385F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>A s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>patial</w:t>
      </w:r>
      <w:r w:rsidR="006E1F4D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>analys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>can be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applied to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detect SIPs and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11401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locate forthcoming large </w:t>
      </w:r>
      <w:r w:rsidR="0011401B">
        <w:rPr>
          <w:rFonts w:ascii="Times New Roman" w:eastAsia="新細明體" w:hAnsi="Times New Roman" w:cs="Times New Roman"/>
          <w:color w:val="000000"/>
          <w:kern w:val="0"/>
          <w:szCs w:val="24"/>
        </w:rPr>
        <w:t>earthquakes</w:t>
      </w:r>
      <w:r w:rsidR="0011401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.</w:t>
      </w:r>
      <w:r w:rsidR="0055385F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DF4B5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>n situ satellite plasma measurements are further employed to three-dimensionally observe SIP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structures/dynamics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find possible causal mechanisms.  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>Here</w:t>
      </w:r>
      <w:r w:rsidR="00AB2724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,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first 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>result</w:t>
      </w:r>
      <w:r w:rsidR="00A17197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A17197">
        <w:rPr>
          <w:rFonts w:ascii="Times New Roman" w:eastAsia="新細明體" w:hAnsi="Times New Roman" w:cs="Times New Roman"/>
          <w:color w:val="000000"/>
          <w:kern w:val="0"/>
          <w:szCs w:val="24"/>
        </w:rPr>
        <w:t>in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A17197">
        <w:rPr>
          <w:rFonts w:ascii="Times New Roman" w:eastAsia="新細明體" w:hAnsi="Times New Roman" w:cs="Times New Roman"/>
          <w:color w:val="000000"/>
          <w:kern w:val="0"/>
          <w:szCs w:val="24"/>
        </w:rPr>
        <w:t>ionospheric space weathers</w:t>
      </w:r>
      <w:bookmarkStart w:id="0" w:name="_GoBack"/>
      <w:bookmarkEnd w:id="0"/>
      <w:r w:rsidR="00A1719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of plasma depletion bays and non-migrating tides as well as 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plasma </w:t>
      </w:r>
      <w:r w:rsidR="00CB3C58">
        <w:rPr>
          <w:rFonts w:ascii="Times New Roman" w:eastAsia="新細明體" w:hAnsi="Times New Roman" w:cs="Times New Roman"/>
          <w:color w:val="000000"/>
          <w:kern w:val="0"/>
          <w:szCs w:val="24"/>
        </w:rPr>
        <w:t>disturbances of SIPs and an intense magnetic storm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probed by CSES (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China </w:t>
      </w:r>
      <w:proofErr w:type="spellStart"/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8E68C3">
        <w:rPr>
          <w:rFonts w:ascii="Times New Roman" w:eastAsia="新細明體" w:hAnsi="Times New Roman" w:cs="Times New Roman"/>
          <w:color w:val="000000"/>
          <w:kern w:val="0"/>
          <w:szCs w:val="24"/>
        </w:rPr>
        <w:t>eismo</w:t>
      </w:r>
      <w:proofErr w:type="spellEnd"/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-electromagnetic satellite) </w:t>
      </w:r>
      <w:r w:rsidR="00A17197">
        <w:rPr>
          <w:rFonts w:ascii="Times New Roman" w:eastAsia="新細明體" w:hAnsi="Times New Roman" w:cs="Times New Roman"/>
          <w:color w:val="000000"/>
          <w:kern w:val="0"/>
          <w:szCs w:val="24"/>
        </w:rPr>
        <w:t>are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C71A4">
        <w:rPr>
          <w:rFonts w:ascii="Times New Roman" w:eastAsia="新細明體" w:hAnsi="Times New Roman" w:cs="Times New Roman"/>
          <w:color w:val="000000"/>
          <w:kern w:val="0"/>
          <w:szCs w:val="24"/>
        </w:rPr>
        <w:t>brief</w:t>
      </w:r>
      <w:r w:rsidR="001B10B9">
        <w:rPr>
          <w:rFonts w:ascii="Times New Roman" w:eastAsia="新細明體" w:hAnsi="Times New Roman" w:cs="Times New Roman"/>
          <w:color w:val="000000"/>
          <w:kern w:val="0"/>
          <w:szCs w:val="24"/>
        </w:rPr>
        <w:t>ed.</w:t>
      </w:r>
    </w:p>
    <w:sectPr w:rsidR="00C37394" w:rsidRPr="001B10B9" w:rsidSect="00ED21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F4" w:rsidRDefault="006C30F4" w:rsidP="00705456">
      <w:r>
        <w:separator/>
      </w:r>
    </w:p>
  </w:endnote>
  <w:endnote w:type="continuationSeparator" w:id="0">
    <w:p w:rsidR="006C30F4" w:rsidRDefault="006C30F4" w:rsidP="0070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F4" w:rsidRDefault="006C30F4" w:rsidP="00705456">
      <w:r>
        <w:separator/>
      </w:r>
    </w:p>
  </w:footnote>
  <w:footnote w:type="continuationSeparator" w:id="0">
    <w:p w:rsidR="006C30F4" w:rsidRDefault="006C30F4" w:rsidP="0070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50"/>
    <w:rsid w:val="000761C5"/>
    <w:rsid w:val="0011401B"/>
    <w:rsid w:val="00177CA1"/>
    <w:rsid w:val="001B10B9"/>
    <w:rsid w:val="00342117"/>
    <w:rsid w:val="003C71A4"/>
    <w:rsid w:val="004655D6"/>
    <w:rsid w:val="004A3E60"/>
    <w:rsid w:val="0055385F"/>
    <w:rsid w:val="00612C8D"/>
    <w:rsid w:val="006C30F4"/>
    <w:rsid w:val="006E1F4D"/>
    <w:rsid w:val="00705456"/>
    <w:rsid w:val="008E68C3"/>
    <w:rsid w:val="00922718"/>
    <w:rsid w:val="00941089"/>
    <w:rsid w:val="00A17197"/>
    <w:rsid w:val="00A605CF"/>
    <w:rsid w:val="00AB2724"/>
    <w:rsid w:val="00AE6F5E"/>
    <w:rsid w:val="00B3390E"/>
    <w:rsid w:val="00B72514"/>
    <w:rsid w:val="00C00059"/>
    <w:rsid w:val="00C05B8D"/>
    <w:rsid w:val="00C37394"/>
    <w:rsid w:val="00CB3C58"/>
    <w:rsid w:val="00DF4B50"/>
    <w:rsid w:val="00E64681"/>
    <w:rsid w:val="00ED2184"/>
    <w:rsid w:val="00F3548C"/>
    <w:rsid w:val="00FB7725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FFBF"/>
  <w15:docId w15:val="{B254B71D-FF1D-5E42-B1A5-B2C7E9C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1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54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5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5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Microsoft Office 使用者</cp:lastModifiedBy>
  <cp:revision>3</cp:revision>
  <dcterms:created xsi:type="dcterms:W3CDTF">2019-10-19T22:24:00Z</dcterms:created>
  <dcterms:modified xsi:type="dcterms:W3CDTF">2019-10-19T22:32:00Z</dcterms:modified>
</cp:coreProperties>
</file>